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E" w:rsidRPr="008A1B86" w:rsidRDefault="009A78AD" w:rsidP="00974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8A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Проверка финансирования, расходования бюджетных средств и достижения непосредственного результата реализации мероприятия муниципальной программы муниципального образования городской округ город-курорт Сочи Краснодарского края «Социальная поддержка граждан», утвержденной Постановлением администрации муниципального образования городской округ город-курорт Сочи Краснодарского края от 30.11.2021 № 2748, по мероприятию 1.1.1.1 «Дополнительная социальная поддержка отдельным категориям граждан, зарегистрированным и проживающим на территории муниципального образования городской округ город-курорт Сочи Краснодарского края, в соответствии с решением Городского Собрания Сочи муниципального образования городской округ город-курорт Сочи Краснодарского края от 28 октября 2021 года № 119 «О мерах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края» на 2022 год</w:t>
      </w:r>
      <w:r w:rsidR="00974ECE" w:rsidRPr="008A1B86">
        <w:rPr>
          <w:rFonts w:ascii="Times New Roman" w:hAnsi="Times New Roman" w:cs="Times New Roman"/>
          <w:b/>
          <w:snapToGrid w:val="0"/>
          <w:sz w:val="28"/>
          <w:szCs w:val="28"/>
        </w:rPr>
        <w:t>».</w:t>
      </w:r>
    </w:p>
    <w:p w:rsidR="00974ECE" w:rsidRPr="001F090C" w:rsidRDefault="00C42C82" w:rsidP="00C42C82">
      <w:pPr>
        <w:spacing w:after="0" w:line="240" w:lineRule="auto"/>
        <w:ind w:right="-1" w:firstLine="708"/>
        <w:jc w:val="both"/>
      </w:pPr>
      <w:r w:rsidRPr="00C42C82">
        <w:rPr>
          <w:rFonts w:ascii="Times New Roman" w:eastAsia="Calibri" w:hAnsi="Times New Roman" w:cs="Times New Roman"/>
          <w:sz w:val="28"/>
          <w:szCs w:val="28"/>
        </w:rPr>
        <w:t>Контрольно-счетной палатой муниципального образования городской округ город-курорт Сочи Краснодарского края  проведена проверка</w:t>
      </w:r>
      <w:r w:rsidRPr="00C42C82">
        <w:t xml:space="preserve"> </w:t>
      </w:r>
      <w:r w:rsidRPr="00C42C82">
        <w:rPr>
          <w:rFonts w:ascii="Times New Roman" w:eastAsia="Calibri" w:hAnsi="Times New Roman" w:cs="Times New Roman"/>
          <w:sz w:val="28"/>
          <w:szCs w:val="28"/>
        </w:rPr>
        <w:t>финансирования, расходования бюджетных средств и достижения непосредственного результата реализации мероприятия муниципальной программы муниципального образования городской округ город-курорт Сочи Краснодарского края «Социальная поддержка граждан», утвержденной Постановлением администрации муниципального образования городской округ город-курорт Сочи Краснодарского края от 30.11.2021 № 2748, по мероприятию 1.1.1.1 «Дополнительная социальная поддержка отдельным категориям граждан, зарегистрированным и проживающим на территории муниципального образования городской округ город-курорт Сочи Краснодарского края, в соответствии с решением Городского Собрания Сочи муниципального образования городской округ город-курорт Сочи Краснодарского края от 28 октября 2021 года № 119 «О мерах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края» на 2022 год».</w:t>
      </w:r>
    </w:p>
    <w:p w:rsidR="003D3478" w:rsidRPr="003D3478" w:rsidRDefault="003D3478" w:rsidP="00C4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Решением Городского Собрания Сочи муниципального образования городской округ город-курорт Сочи Краснодарского края от 28.10.2021 № 119  установлены дополнительные меры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 (далее – Решение № 119).</w:t>
      </w:r>
    </w:p>
    <w:p w:rsidR="003D3478" w:rsidRPr="003D3478" w:rsidRDefault="003D3478" w:rsidP="003D3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Бюджетные ассигнования на реализацию данного решения предусмотрены решением о бюджете города Сочи на 2022 год и на плановый период 2023 и 2024 годов по мероприятию 1.1.1.1 муниципальной программы «Социальная 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поддержка граждан», утвержденной постановлением администрации от 30.11.2021 № 2748, в размере 32 990,8 тыс. рублей, в том числе:</w:t>
      </w:r>
    </w:p>
    <w:p w:rsidR="003D3478" w:rsidRPr="003D3478" w:rsidRDefault="003D3478" w:rsidP="003D3478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Адлерского внутригородского района муниципального образования городской округ город-курорт Сочи Краснодарского края – </w:t>
      </w:r>
      <w:r w:rsidRPr="003D347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9 243 000,0 рублей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из них по видам расходов 200 «Закупка товаров, работ и услуг для обеспечения государственных (муниципальных) нужд» – 191 900,0 рублей и 300 «Социальное обеспечение и иные выплаты населению» – 9 051 100,0 рублей;</w:t>
      </w:r>
    </w:p>
    <w:p w:rsidR="003D3478" w:rsidRPr="003D3478" w:rsidRDefault="003D3478" w:rsidP="003D3478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Хостинского внутригородского района муниципального образования городской округ город-курорт Сочи Краснодарского края – </w:t>
      </w:r>
      <w:r w:rsidRPr="003D347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6 139 400,0 рублей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из них по видам расходов 200 «Закупка товаров, работ и услуг для обеспечения государственных (муниципальных) нужд» и – 240 600,0 рублей и 300 «Социальное обеспечение и иные выплаты населению» – 5 898 800,0 рублей; </w:t>
      </w:r>
    </w:p>
    <w:p w:rsidR="003D3478" w:rsidRPr="003D3478" w:rsidRDefault="003D3478" w:rsidP="003D3478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Центрального внутригородского района муниципального образования городской округ город-курорт Сочи Краснодарского края – </w:t>
      </w:r>
      <w:r w:rsidRPr="003D347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8 209 600,0 рублей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из них по видам расходов 200 «Закупка товаров, работ и услуг для обеспечения государственных (муниципальных) нужд» и – 231 900,0 рублей и 300 «Социальное обеспечение и иные выплаты населению» – 7 977 700,0 рублей;</w:t>
      </w:r>
    </w:p>
    <w:p w:rsidR="003D3478" w:rsidRPr="003D3478" w:rsidRDefault="003D3478" w:rsidP="003D3478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Лазаревского внутригородского района муниципального образования городской округ город-курорт Сочи Краснодарского края – </w:t>
      </w:r>
      <w:r w:rsidRPr="003D347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9 398 800,0 рублей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из них по видам расходов 200 «Закупка товаров, работ и услуг для обеспечения государственных (муниципальных) нужд» – 413 200,0 рублей и 300 «Социальное обеспечение и иные выплаты населению» – 8 985 600,0 рублей.   </w:t>
      </w:r>
    </w:p>
    <w:p w:rsidR="003D3478" w:rsidRPr="003D3478" w:rsidRDefault="003D3478" w:rsidP="003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 исполнении п. 3.1 Решения № 119 постановлением администрации муниципального образования городской округ город-курорт Сочи Краснодарского края 24.03.2022 за № 755 утвержден Порядок предоставления мер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 (далее – Порядок).</w:t>
      </w:r>
    </w:p>
    <w:p w:rsidR="003D3478" w:rsidRPr="003D3478" w:rsidRDefault="003D3478" w:rsidP="003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По результатам контрольного мероприятия выявлены следующие нарушения и недостатки.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В нарушение Постановления администрации муниципального образования городской округ город-курорт Сочи Краснодарского края от 24.02.2021 № 222 «Об утверждении порядка разработки, согласования и утверждения положений об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края» Положение об управлении социальной политики администрации муниципального образования городской округ город-курорт Сочи Краснодарского края не утверждено.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В нарушение п. 3.1 Решения Городского Собрания Сочи от 28.10.2021 №119 Порядок и условия предоставления мер дополнительной социальной поддержки и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 разработан с нарушением сроков на 3 месяца и 26 дней, а именно 24.03.2022 года.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 п. 3.1 Решения № 119 администрации муниципального образования городской округ город-курорт Сочи Краснодарского края в течение месяца со дня принятия данного решения должна была разработать муниципальный правовой акт, регулирующий порядок и условия предоставления мер дополнительной социальной поддержки и помощи отдельным категориям граждан. 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Проанализировав Порядок (в ред. от 26.06.2023) установлено следующее: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В пунктах 7.1.1-7.1.4 Порядка и Приложении № 5 к Порядку указано «…выданную не ранее одного месяца до даты подачи данного документа в администрацию соответствующего внутригородского района муниципального образования городской округ город-курорт Сочи Краснодарского края», при этом не конкретизировано чем подтверждается дата подачи обращения. Данный факт приводит к невозможности определить своевременность и действительность представленных документов.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С учетом вступления в силу с 17.04.2018 года Приказа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справки о составе семьи, представляемые в администрации внутригородских районов, выданные МУП г. Сочи «Городской информационно-вычислительный центр» являются архивными и не содержат актуальную информацию. Кроме того данные справки в основном выдаются для предоставления в УСЗН. Таким образом, в Порядке необходимо уточнить орган, имеющий право выдавать данные справки (данные справки можно получить в органе регистрационного учета).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С целью единого подхода по осуществлению выплат многодетным семьям отделами социального развития администраций внутригородских районов в Постановление № 755 необходимо уточнить порядок выплат семьям, чьи дети зарегистрированы (проживают) на отличных друг от друга адресах одного (разных) внутригородских районов.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Пункт 7.1.2 Порядка необходимо дополнить ежегодным предоставлением документа и его копии, подтверждающего льготный статус, в случае, когда в личном деле в качестве подтверждения статуса многодетной семьи находится Справка, выданная соответствующим органом, без срока ее действия.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целью экономности и эффективности использования бюджетных средств и материальных ресурсов в перечне документов, указанных в пункте 7 </w:t>
      </w: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Порядка и приложении № 5 к Порядку, следует уточнить: «копии с предоставлением оригинала» или «оригинал».</w:t>
      </w:r>
    </w:p>
    <w:p w:rsidR="003D3478" w:rsidRPr="003D3478" w:rsidRDefault="003D3478" w:rsidP="003D3478">
      <w:pPr>
        <w:numPr>
          <w:ilvl w:val="0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В Приложение № 4 к Порядку «Заявление-обязательство» предложение «В случае перемены места жительства, изменения паспортных данных, обязуюсь сообщить в администрацию ________________ внутригородского района муниципального образования городской округ город-курорт Сочи Краснодарского края в течение 10 дней со дня наступления соответствующего события.» необходимо дополнить словами «изменения состава семьи, изменения льготного статуса».</w:t>
      </w:r>
    </w:p>
    <w:p w:rsidR="003D3478" w:rsidRPr="003D3478" w:rsidRDefault="003D3478" w:rsidP="003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sz w:val="28"/>
          <w:szCs w:val="28"/>
        </w:rPr>
        <w:t xml:space="preserve">Администрациями внутригородских районов муниципального образования городской округ город-курорт Сочи Краснодарского края допущено необоснованное планирование бюджетных ассигнований по мероприятию 1.1.1.1 на общую сумму 1 496,3 тыс. рублей, в том числе: </w:t>
      </w:r>
    </w:p>
    <w:p w:rsidR="003D3478" w:rsidRPr="003D3478" w:rsidRDefault="003D3478" w:rsidP="003D347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Центрального на сумму 254,2 тыс. рублей; </w:t>
      </w:r>
    </w:p>
    <w:p w:rsidR="003D3478" w:rsidRPr="003D3478" w:rsidRDefault="003D3478" w:rsidP="003D347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sz w:val="28"/>
          <w:szCs w:val="28"/>
        </w:rPr>
        <w:t>администрацией Хостинского на сумму 808,1 тыс. рублей;</w:t>
      </w:r>
    </w:p>
    <w:p w:rsidR="003D3478" w:rsidRPr="003D3478" w:rsidRDefault="003D3478" w:rsidP="003D347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sz w:val="28"/>
          <w:szCs w:val="28"/>
        </w:rPr>
        <w:t>администрацией Адлерского на сумму 434,0 тыс. рублей;</w:t>
      </w:r>
    </w:p>
    <w:p w:rsidR="003D3478" w:rsidRPr="003D3478" w:rsidRDefault="003D3478" w:rsidP="003D347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sz w:val="28"/>
          <w:szCs w:val="28"/>
        </w:rPr>
        <w:t>администрация Лазаревского внутригородского района обоснования изменений объемов финансирования не представила.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Администрациями внутригородских районов допущены нарушения Порядка п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редоставления мер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 при осуществлении выплат отдельным категориям граждан.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нарушение п. 9 Порядка 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некоторых личных делах отсутствуют: свидетельство о постановке на учет физического лица в налоговом органе (ИНН), страховой номер индивидуального лицевого счета (СНИЛС). 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нарушение </w:t>
      </w: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подп. 1 ч. 1 ст. 6 Федерального закона от 27.07.2006 № 152-ФЗ «О персональных данных» в некоторых личных делах отсутствуют согласия на обработку персональных данных.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делах, открытых до вступления в силу Решения № 119 и Порядка, выплаты предоставляются по Заявлению-обязательству, написанному в соответствии с решением Городского Собрания Сочи от 14.11.2006 № 300 «О мерах дополнительной социальной поддержки и помощи отдельным категориям граждан, проживающих на территории муниципального образования город-курорт Сочи», по которому выплаты осуществлялись до 2022 года. 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Непосредственный результат реализации мероприятия 1.1.1.1 муниципальной программы за 2022 год не достигнут ввиду того, что данные выплаты носят заявительный характер. Вместе с тем по Лазаревскому внутригородскому району установленный показатель перевыполнен при неполном освоении бюджетных ассигнований, что говорит об отсутствии взаимосвязи между непосредственным результатом и объемами финансирования.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 результатам контрольного мероприятия в адрес управления социальной политики администрации муниципального образования городской округ город-курорт Сочи Краснодарского края и четырем администрациям внутригородских районов муниципального образования городской округ город-курорт Сочи Краснодарского края будут направлены представления с предложениями и рекомендациями.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Отчет о результатах контрольного мероприятия направить в Городское Собрание Сочи муниципального образования городской округ город-курорт Сочи Краснодарского края, в Прокуратуру города Сочи и главе муниципального образования городской округ город-курорт Сочи Краснодарского края.</w:t>
      </w:r>
    </w:p>
    <w:p w:rsidR="00E07C32" w:rsidRDefault="00E07C32">
      <w:pPr>
        <w:pStyle w:val="a3"/>
        <w:ind w:firstLine="708"/>
        <w:jc w:val="both"/>
      </w:pPr>
    </w:p>
    <w:sectPr w:rsidR="00E07C32" w:rsidSect="008B64FB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61" w:rsidRDefault="00A85D61" w:rsidP="00E07C32">
      <w:pPr>
        <w:spacing w:after="0" w:line="240" w:lineRule="auto"/>
      </w:pPr>
      <w:r>
        <w:separator/>
      </w:r>
    </w:p>
  </w:endnote>
  <w:endnote w:type="continuationSeparator" w:id="0">
    <w:p w:rsidR="00A85D61" w:rsidRDefault="00A85D61" w:rsidP="00E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61" w:rsidRDefault="00A85D61" w:rsidP="00E07C32">
      <w:pPr>
        <w:spacing w:after="0" w:line="240" w:lineRule="auto"/>
      </w:pPr>
      <w:r>
        <w:separator/>
      </w:r>
    </w:p>
  </w:footnote>
  <w:footnote w:type="continuationSeparator" w:id="0">
    <w:p w:rsidR="00A85D61" w:rsidRDefault="00A85D61" w:rsidP="00E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12997615"/>
      <w:docPartObj>
        <w:docPartGallery w:val="Page Numbers (Top of Page)"/>
        <w:docPartUnique/>
      </w:docPartObj>
    </w:sdtPr>
    <w:sdtEndPr/>
    <w:sdtContent>
      <w:p w:rsidR="00143FC2" w:rsidRPr="008B64FB" w:rsidRDefault="00143FC2">
        <w:pPr>
          <w:pStyle w:val="a8"/>
          <w:jc w:val="center"/>
          <w:rPr>
            <w:rFonts w:ascii="Times New Roman" w:hAnsi="Times New Roman" w:cs="Times New Roman"/>
          </w:rPr>
        </w:pPr>
        <w:r w:rsidRPr="008B64FB">
          <w:rPr>
            <w:rFonts w:ascii="Times New Roman" w:hAnsi="Times New Roman" w:cs="Times New Roman"/>
          </w:rPr>
          <w:fldChar w:fldCharType="begin"/>
        </w:r>
        <w:r w:rsidRPr="008B64FB">
          <w:rPr>
            <w:rFonts w:ascii="Times New Roman" w:hAnsi="Times New Roman" w:cs="Times New Roman"/>
          </w:rPr>
          <w:instrText>PAGE   \* MERGEFORMAT</w:instrText>
        </w:r>
        <w:r w:rsidRPr="008B64FB">
          <w:rPr>
            <w:rFonts w:ascii="Times New Roman" w:hAnsi="Times New Roman" w:cs="Times New Roman"/>
          </w:rPr>
          <w:fldChar w:fldCharType="separate"/>
        </w:r>
        <w:r w:rsidR="00DA4E28">
          <w:rPr>
            <w:rFonts w:ascii="Times New Roman" w:hAnsi="Times New Roman" w:cs="Times New Roman"/>
            <w:noProof/>
          </w:rPr>
          <w:t>2</w:t>
        </w:r>
        <w:r w:rsidRPr="008B64FB">
          <w:rPr>
            <w:rFonts w:ascii="Times New Roman" w:hAnsi="Times New Roman" w:cs="Times New Roman"/>
          </w:rPr>
          <w:fldChar w:fldCharType="end"/>
        </w:r>
      </w:p>
    </w:sdtContent>
  </w:sdt>
  <w:p w:rsidR="00143FC2" w:rsidRDefault="00143FC2" w:rsidP="00E86B8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C2" w:rsidRDefault="00143FC2">
    <w:pPr>
      <w:pStyle w:val="a8"/>
      <w:jc w:val="center"/>
    </w:pPr>
  </w:p>
  <w:p w:rsidR="00E86B8A" w:rsidRDefault="00E86B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21"/>
    <w:multiLevelType w:val="hybridMultilevel"/>
    <w:tmpl w:val="F49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444"/>
    <w:multiLevelType w:val="hybridMultilevel"/>
    <w:tmpl w:val="6E52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770F"/>
    <w:multiLevelType w:val="hybridMultilevel"/>
    <w:tmpl w:val="5296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6BA"/>
    <w:multiLevelType w:val="multilevel"/>
    <w:tmpl w:val="5340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32D57"/>
    <w:multiLevelType w:val="hybridMultilevel"/>
    <w:tmpl w:val="1FEC0D68"/>
    <w:lvl w:ilvl="0" w:tplc="96D29668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D4A"/>
    <w:multiLevelType w:val="hybridMultilevel"/>
    <w:tmpl w:val="678A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5454E7"/>
    <w:multiLevelType w:val="hybridMultilevel"/>
    <w:tmpl w:val="FBE891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17557"/>
    <w:multiLevelType w:val="hybridMultilevel"/>
    <w:tmpl w:val="9F923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75DF3"/>
    <w:multiLevelType w:val="hybridMultilevel"/>
    <w:tmpl w:val="08FC0C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046E0"/>
    <w:multiLevelType w:val="hybridMultilevel"/>
    <w:tmpl w:val="74EACC0A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7705E1D"/>
    <w:multiLevelType w:val="hybridMultilevel"/>
    <w:tmpl w:val="72B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879D8"/>
    <w:multiLevelType w:val="hybridMultilevel"/>
    <w:tmpl w:val="72C21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7ECD3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50157"/>
    <w:multiLevelType w:val="hybridMultilevel"/>
    <w:tmpl w:val="2AF68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441106"/>
    <w:multiLevelType w:val="multilevel"/>
    <w:tmpl w:val="A948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02855"/>
    <w:multiLevelType w:val="hybridMultilevel"/>
    <w:tmpl w:val="F0E8A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C2062B4"/>
    <w:multiLevelType w:val="hybridMultilevel"/>
    <w:tmpl w:val="D11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5F46"/>
    <w:multiLevelType w:val="hybridMultilevel"/>
    <w:tmpl w:val="FCC6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C7813"/>
    <w:multiLevelType w:val="hybridMultilevel"/>
    <w:tmpl w:val="D5B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23894"/>
    <w:multiLevelType w:val="hybridMultilevel"/>
    <w:tmpl w:val="91F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1CE9"/>
    <w:multiLevelType w:val="hybridMultilevel"/>
    <w:tmpl w:val="FF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95393"/>
    <w:multiLevelType w:val="hybridMultilevel"/>
    <w:tmpl w:val="FC4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B7C09"/>
    <w:multiLevelType w:val="hybridMultilevel"/>
    <w:tmpl w:val="4CA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B081B"/>
    <w:multiLevelType w:val="hybridMultilevel"/>
    <w:tmpl w:val="2C5E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A7726"/>
    <w:multiLevelType w:val="hybridMultilevel"/>
    <w:tmpl w:val="A03A4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1"/>
  </w:num>
  <w:num w:numId="8">
    <w:abstractNumId w:val="0"/>
  </w:num>
  <w:num w:numId="9">
    <w:abstractNumId w:val="23"/>
  </w:num>
  <w:num w:numId="10">
    <w:abstractNumId w:val="10"/>
  </w:num>
  <w:num w:numId="11">
    <w:abstractNumId w:val="9"/>
  </w:num>
  <w:num w:numId="12">
    <w:abstractNumId w:val="20"/>
  </w:num>
  <w:num w:numId="13">
    <w:abstractNumId w:val="8"/>
  </w:num>
  <w:num w:numId="14">
    <w:abstractNumId w:val="24"/>
  </w:num>
  <w:num w:numId="15">
    <w:abstractNumId w:val="13"/>
  </w:num>
  <w:num w:numId="16">
    <w:abstractNumId w:val="6"/>
  </w:num>
  <w:num w:numId="17">
    <w:abstractNumId w:val="15"/>
  </w:num>
  <w:num w:numId="18">
    <w:abstractNumId w:val="19"/>
  </w:num>
  <w:num w:numId="19">
    <w:abstractNumId w:val="14"/>
  </w:num>
  <w:num w:numId="20">
    <w:abstractNumId w:val="18"/>
  </w:num>
  <w:num w:numId="21">
    <w:abstractNumId w:val="2"/>
  </w:num>
  <w:num w:numId="22">
    <w:abstractNumId w:val="5"/>
  </w:num>
  <w:num w:numId="23">
    <w:abstractNumId w:val="2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B"/>
    <w:rsid w:val="00052450"/>
    <w:rsid w:val="000D7E05"/>
    <w:rsid w:val="000F4388"/>
    <w:rsid w:val="00126539"/>
    <w:rsid w:val="00143FC2"/>
    <w:rsid w:val="0016656E"/>
    <w:rsid w:val="00173800"/>
    <w:rsid w:val="00203460"/>
    <w:rsid w:val="002210C5"/>
    <w:rsid w:val="00247233"/>
    <w:rsid w:val="00251241"/>
    <w:rsid w:val="00283311"/>
    <w:rsid w:val="002E5955"/>
    <w:rsid w:val="002F416F"/>
    <w:rsid w:val="002F5A89"/>
    <w:rsid w:val="00300151"/>
    <w:rsid w:val="00321654"/>
    <w:rsid w:val="003D3478"/>
    <w:rsid w:val="003D4FA7"/>
    <w:rsid w:val="00455639"/>
    <w:rsid w:val="00480D33"/>
    <w:rsid w:val="004836AE"/>
    <w:rsid w:val="004B1F8C"/>
    <w:rsid w:val="004B2AA7"/>
    <w:rsid w:val="004D4F9D"/>
    <w:rsid w:val="004F531A"/>
    <w:rsid w:val="005A0363"/>
    <w:rsid w:val="005A3445"/>
    <w:rsid w:val="005A60AE"/>
    <w:rsid w:val="005B3218"/>
    <w:rsid w:val="005E184B"/>
    <w:rsid w:val="005F3635"/>
    <w:rsid w:val="00656D3E"/>
    <w:rsid w:val="006A25A7"/>
    <w:rsid w:val="006A778A"/>
    <w:rsid w:val="007002C0"/>
    <w:rsid w:val="0073416B"/>
    <w:rsid w:val="007A66D4"/>
    <w:rsid w:val="007B088A"/>
    <w:rsid w:val="007D6D13"/>
    <w:rsid w:val="00824D27"/>
    <w:rsid w:val="00883E67"/>
    <w:rsid w:val="00893ED4"/>
    <w:rsid w:val="008A1B86"/>
    <w:rsid w:val="008B64FB"/>
    <w:rsid w:val="00945B55"/>
    <w:rsid w:val="00965DD5"/>
    <w:rsid w:val="00974ECE"/>
    <w:rsid w:val="0098013D"/>
    <w:rsid w:val="009A78AD"/>
    <w:rsid w:val="009D7A52"/>
    <w:rsid w:val="00A74A4A"/>
    <w:rsid w:val="00A85D61"/>
    <w:rsid w:val="00A92025"/>
    <w:rsid w:val="00A9736B"/>
    <w:rsid w:val="00B13891"/>
    <w:rsid w:val="00B3509D"/>
    <w:rsid w:val="00B4530C"/>
    <w:rsid w:val="00B45657"/>
    <w:rsid w:val="00B57B23"/>
    <w:rsid w:val="00BC71FE"/>
    <w:rsid w:val="00C0006D"/>
    <w:rsid w:val="00C42C82"/>
    <w:rsid w:val="00C56EEB"/>
    <w:rsid w:val="00C66416"/>
    <w:rsid w:val="00CD1EC4"/>
    <w:rsid w:val="00CD595D"/>
    <w:rsid w:val="00CF21E1"/>
    <w:rsid w:val="00D00D2B"/>
    <w:rsid w:val="00D0327B"/>
    <w:rsid w:val="00D63CCF"/>
    <w:rsid w:val="00D704D6"/>
    <w:rsid w:val="00DA4E28"/>
    <w:rsid w:val="00DA688C"/>
    <w:rsid w:val="00E07C32"/>
    <w:rsid w:val="00E07EEB"/>
    <w:rsid w:val="00E16FD4"/>
    <w:rsid w:val="00E26BEA"/>
    <w:rsid w:val="00E339BF"/>
    <w:rsid w:val="00E50CA8"/>
    <w:rsid w:val="00E6460C"/>
    <w:rsid w:val="00E80813"/>
    <w:rsid w:val="00E86B8A"/>
    <w:rsid w:val="00F4036B"/>
    <w:rsid w:val="00F405A5"/>
    <w:rsid w:val="00F441A9"/>
    <w:rsid w:val="00F8776B"/>
    <w:rsid w:val="00FD3239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A78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A78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41EF-6F4E-49F2-8E54-FDEE412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Пономаренко</cp:lastModifiedBy>
  <cp:revision>2</cp:revision>
  <cp:lastPrinted>2024-02-24T16:02:00Z</cp:lastPrinted>
  <dcterms:created xsi:type="dcterms:W3CDTF">2024-02-24T17:59:00Z</dcterms:created>
  <dcterms:modified xsi:type="dcterms:W3CDTF">2024-02-24T17:59:00Z</dcterms:modified>
</cp:coreProperties>
</file>