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A6E" w:rsidRPr="00093A6E" w:rsidRDefault="00093A6E" w:rsidP="00093A6E">
      <w:pPr>
        <w:ind w:firstLine="708"/>
        <w:jc w:val="both"/>
        <w:rPr>
          <w:b/>
          <w:sz w:val="28"/>
          <w:szCs w:val="28"/>
        </w:rPr>
      </w:pPr>
      <w:bookmarkStart w:id="0" w:name="_GoBack"/>
      <w:bookmarkEnd w:id="0"/>
      <w:r w:rsidRPr="00093A6E">
        <w:rPr>
          <w:b/>
          <w:sz w:val="28"/>
          <w:szCs w:val="28"/>
        </w:rPr>
        <w:t>Внешняя проверка годовой бюджетной отчетности главных администраторов бюджетных средств за 2022 год</w:t>
      </w:r>
      <w:r w:rsidR="005E1028">
        <w:rPr>
          <w:b/>
          <w:sz w:val="28"/>
          <w:szCs w:val="28"/>
        </w:rPr>
        <w:t>.</w:t>
      </w:r>
    </w:p>
    <w:p w:rsidR="00093A6E" w:rsidRDefault="00093A6E" w:rsidP="00093A6E">
      <w:pPr>
        <w:ind w:firstLine="708"/>
        <w:jc w:val="both"/>
        <w:rPr>
          <w:sz w:val="28"/>
          <w:szCs w:val="28"/>
        </w:rPr>
      </w:pPr>
    </w:p>
    <w:p w:rsidR="00093A6E" w:rsidRDefault="00093A6E" w:rsidP="00093A6E">
      <w:pPr>
        <w:ind w:firstLine="708"/>
        <w:jc w:val="both"/>
        <w:rPr>
          <w:sz w:val="28"/>
          <w:szCs w:val="28"/>
        </w:rPr>
      </w:pPr>
      <w:r>
        <w:rPr>
          <w:sz w:val="28"/>
          <w:szCs w:val="28"/>
        </w:rPr>
        <w:t>В соответствии со статьей 264.4 Бюджетного кодекса Российской Федерации для проведения внешней проверки бюджетной отчетности двадцатью главными администраторам бюджетных средств в Контрольно-счетную палату муниципального образования городской округ город-курорт Сочи Краснодарского края предоставлена бюджетная отчетность за 2022 год.</w:t>
      </w:r>
    </w:p>
    <w:p w:rsidR="00093A6E" w:rsidRDefault="00093A6E" w:rsidP="00093A6E">
      <w:pPr>
        <w:tabs>
          <w:tab w:val="left" w:pos="1080"/>
        </w:tabs>
        <w:ind w:firstLine="709"/>
        <w:jc w:val="both"/>
        <w:rPr>
          <w:sz w:val="28"/>
          <w:szCs w:val="28"/>
        </w:rPr>
      </w:pPr>
      <w:r>
        <w:rPr>
          <w:sz w:val="28"/>
          <w:szCs w:val="28"/>
        </w:rPr>
        <w:t>По результатам внешней проверки бюджетной отчетности оформлено 20 заключений. Основные замечания отмечены в части состава и содержания форм годовой бюджетной отчетности, из них:</w:t>
      </w:r>
    </w:p>
    <w:p w:rsidR="00093A6E" w:rsidRDefault="00093A6E" w:rsidP="00093A6E">
      <w:pPr>
        <w:shd w:val="clear" w:color="auto" w:fill="FFFFFF" w:themeFill="background1"/>
        <w:tabs>
          <w:tab w:val="left" w:pos="1080"/>
        </w:tabs>
        <w:ind w:firstLine="709"/>
        <w:jc w:val="both"/>
        <w:rPr>
          <w:sz w:val="28"/>
          <w:szCs w:val="28"/>
        </w:rPr>
      </w:pPr>
      <w:r>
        <w:rPr>
          <w:sz w:val="28"/>
          <w:szCs w:val="28"/>
        </w:rPr>
        <w:t>1.</w:t>
      </w:r>
      <w:r>
        <w:rPr>
          <w:sz w:val="28"/>
          <w:szCs w:val="28"/>
        </w:rPr>
        <w:tab/>
        <w:t>У семнадцати из двадцати главных администраторов бюджетных средств были выявлены нарушения требований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w:t>
      </w:r>
      <w:r>
        <w:rPr>
          <w:i/>
          <w:sz w:val="28"/>
          <w:szCs w:val="28"/>
        </w:rPr>
        <w:t>в 2021 году у одиннадцати</w:t>
      </w:r>
      <w:r>
        <w:rPr>
          <w:sz w:val="28"/>
          <w:szCs w:val="28"/>
        </w:rPr>
        <w:t>).</w:t>
      </w:r>
    </w:p>
    <w:p w:rsidR="00093A6E" w:rsidRDefault="00093A6E" w:rsidP="00093A6E">
      <w:pPr>
        <w:shd w:val="clear" w:color="auto" w:fill="FFFFFF" w:themeFill="background1"/>
        <w:tabs>
          <w:tab w:val="left" w:pos="1080"/>
        </w:tabs>
        <w:ind w:firstLine="709"/>
        <w:jc w:val="both"/>
        <w:rPr>
          <w:sz w:val="28"/>
          <w:szCs w:val="28"/>
        </w:rPr>
      </w:pPr>
      <w:r>
        <w:rPr>
          <w:sz w:val="28"/>
          <w:szCs w:val="28"/>
        </w:rPr>
        <w:t>2.</w:t>
      </w:r>
      <w:r>
        <w:rPr>
          <w:sz w:val="28"/>
          <w:szCs w:val="28"/>
        </w:rPr>
        <w:tab/>
        <w:t>У девяти из двадцати главных администраторов бюджетных средств было выявлено неэффективное использование бюджетных средств.</w:t>
      </w:r>
    </w:p>
    <w:p w:rsidR="00093A6E" w:rsidRDefault="00093A6E" w:rsidP="00093A6E">
      <w:pPr>
        <w:shd w:val="clear" w:color="auto" w:fill="FFFFFF" w:themeFill="background1"/>
        <w:tabs>
          <w:tab w:val="left" w:pos="1080"/>
        </w:tabs>
        <w:ind w:firstLine="709"/>
        <w:jc w:val="both"/>
        <w:rPr>
          <w:sz w:val="28"/>
          <w:szCs w:val="28"/>
        </w:rPr>
      </w:pPr>
      <w:r>
        <w:rPr>
          <w:sz w:val="28"/>
          <w:szCs w:val="28"/>
        </w:rPr>
        <w:t>3.</w:t>
      </w:r>
      <w:r>
        <w:rPr>
          <w:sz w:val="28"/>
          <w:szCs w:val="28"/>
        </w:rPr>
        <w:tab/>
        <w:t>У семи из двадцати главных администраторов бюджетных средств были выявлены нарушения требований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 157н.</w:t>
      </w:r>
    </w:p>
    <w:p w:rsidR="00093A6E" w:rsidRDefault="00093A6E" w:rsidP="00093A6E">
      <w:pPr>
        <w:shd w:val="clear" w:color="auto" w:fill="FFFFFF" w:themeFill="background1"/>
        <w:tabs>
          <w:tab w:val="left" w:pos="1080"/>
        </w:tabs>
        <w:ind w:firstLine="709"/>
        <w:jc w:val="both"/>
        <w:rPr>
          <w:sz w:val="28"/>
          <w:szCs w:val="28"/>
        </w:rPr>
      </w:pPr>
      <w:r>
        <w:rPr>
          <w:sz w:val="28"/>
          <w:szCs w:val="28"/>
        </w:rPr>
        <w:t>4.</w:t>
      </w:r>
      <w:r>
        <w:rPr>
          <w:sz w:val="28"/>
          <w:szCs w:val="28"/>
        </w:rPr>
        <w:tab/>
        <w:t>У шести из двадцати главных администраторов бюджетных средств были выявлены различные нарушения требований федеральных стандартов бухгалтерского учета.</w:t>
      </w:r>
    </w:p>
    <w:p w:rsidR="00093A6E" w:rsidRDefault="00093A6E" w:rsidP="00093A6E">
      <w:pPr>
        <w:tabs>
          <w:tab w:val="left" w:pos="1080"/>
        </w:tabs>
        <w:ind w:firstLine="709"/>
        <w:jc w:val="both"/>
        <w:rPr>
          <w:sz w:val="28"/>
          <w:szCs w:val="28"/>
        </w:rPr>
      </w:pPr>
      <w:r>
        <w:rPr>
          <w:sz w:val="28"/>
          <w:szCs w:val="28"/>
        </w:rPr>
        <w:t>5.</w:t>
      </w:r>
      <w:r>
        <w:rPr>
          <w:sz w:val="28"/>
          <w:szCs w:val="28"/>
        </w:rPr>
        <w:tab/>
        <w:t>У девяти из двадцати главных администраторов бюджетных средств были выявлены нарушения учета и отчетности, повлиявшие на достоверность отчетности.</w:t>
      </w:r>
    </w:p>
    <w:p w:rsidR="00093A6E" w:rsidRDefault="00093A6E" w:rsidP="00093A6E">
      <w:pPr>
        <w:tabs>
          <w:tab w:val="left" w:pos="1080"/>
        </w:tabs>
        <w:ind w:firstLine="709"/>
        <w:jc w:val="both"/>
        <w:rPr>
          <w:sz w:val="28"/>
          <w:szCs w:val="28"/>
        </w:rPr>
      </w:pPr>
      <w:r>
        <w:rPr>
          <w:sz w:val="28"/>
          <w:szCs w:val="28"/>
        </w:rPr>
        <w:t>При выборочной проверке двумя главными администраторами бюджетных средств допущено три вида нарушений норм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93A6E" w:rsidRDefault="00093A6E" w:rsidP="00093A6E">
      <w:pPr>
        <w:tabs>
          <w:tab w:val="left" w:pos="1080"/>
        </w:tabs>
        <w:ind w:firstLine="709"/>
        <w:jc w:val="both"/>
        <w:rPr>
          <w:sz w:val="28"/>
          <w:szCs w:val="28"/>
        </w:rPr>
      </w:pPr>
      <w:r>
        <w:rPr>
          <w:sz w:val="28"/>
          <w:szCs w:val="28"/>
        </w:rPr>
        <w:t>Причинами допущенных в отчетном периоде нарушений, по мнению Контрольно-счетной палаты, являлись:</w:t>
      </w:r>
    </w:p>
    <w:p w:rsidR="00093A6E" w:rsidRDefault="00093A6E" w:rsidP="00093A6E">
      <w:pPr>
        <w:tabs>
          <w:tab w:val="left" w:pos="1080"/>
        </w:tabs>
        <w:ind w:firstLine="709"/>
        <w:jc w:val="both"/>
        <w:rPr>
          <w:sz w:val="28"/>
          <w:szCs w:val="28"/>
        </w:rPr>
      </w:pPr>
      <w:r>
        <w:rPr>
          <w:sz w:val="28"/>
          <w:szCs w:val="28"/>
        </w:rPr>
        <w:t>- текучесть кадров в связи со сменой бухгалтеров и передачей полномочий по ведению бухгалтерского учета и составления бюджетной отчетности в подведомственные учреждения в период сдачи отчетности, а также возрастающими объемами работы и нагрузкой на каждого специалиста в результате изменений законодательства по учету и отчетности и введения Стандартов бухгалтерского учета;</w:t>
      </w:r>
    </w:p>
    <w:p w:rsidR="00093A6E" w:rsidRDefault="00093A6E" w:rsidP="00093A6E">
      <w:pPr>
        <w:tabs>
          <w:tab w:val="left" w:pos="709"/>
        </w:tabs>
        <w:ind w:firstLine="709"/>
        <w:jc w:val="both"/>
        <w:rPr>
          <w:sz w:val="28"/>
          <w:szCs w:val="28"/>
        </w:rPr>
      </w:pPr>
      <w:r>
        <w:rPr>
          <w:sz w:val="28"/>
          <w:szCs w:val="28"/>
        </w:rPr>
        <w:lastRenderedPageBreak/>
        <w:t>- недостаточная организация ГАБС и подведомственными администраторами бюджетных средств ВФК и ВФА, основной целью которых является соответствие порядка ведения бюджетного учета единой методологии, обеспечение достоверности учета и отчетности.</w:t>
      </w:r>
    </w:p>
    <w:p w:rsidR="00093A6E" w:rsidRDefault="00093A6E" w:rsidP="00093A6E">
      <w:pPr>
        <w:shd w:val="clear" w:color="auto" w:fill="FFFFFF" w:themeFill="background1"/>
        <w:tabs>
          <w:tab w:val="left" w:pos="1080"/>
        </w:tabs>
        <w:ind w:firstLine="709"/>
        <w:jc w:val="both"/>
        <w:rPr>
          <w:sz w:val="28"/>
          <w:szCs w:val="28"/>
        </w:rPr>
      </w:pPr>
      <w:r>
        <w:rPr>
          <w:sz w:val="28"/>
          <w:szCs w:val="28"/>
        </w:rPr>
        <w:t>По итогам проведения внешней проверки бюджетной отчетности рекомендовано, обратить особое внимание главных администраторов бюджетных средств на осуществление внутреннего финансового аудита в целях подтверждения выводов о надежности (об эффективности) внутреннего финансового контроля, достоверности бюджетной отчетности согласно статьи 160.2-1 Бюджетного кодекса Российской Федерации и Приказа Минфина России от 01 сентября 2021 года № 120н (ред. от 01.09.2022) «Об утверждении федерального стандарта внутреннего финансового аудита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w:t>
      </w:r>
    </w:p>
    <w:p w:rsidR="00093A6E" w:rsidRDefault="00093A6E" w:rsidP="00093A6E">
      <w:pPr>
        <w:tabs>
          <w:tab w:val="left" w:pos="1080"/>
        </w:tabs>
        <w:ind w:firstLine="709"/>
        <w:jc w:val="both"/>
        <w:rPr>
          <w:sz w:val="28"/>
          <w:szCs w:val="28"/>
        </w:rPr>
      </w:pPr>
      <w:r>
        <w:rPr>
          <w:sz w:val="28"/>
          <w:szCs w:val="28"/>
        </w:rPr>
        <w:t>Установленные нарушения и рекомендации отражены в соответствующих заключениях, которые направлены руководителям предложениями об устранении выявленных нарушений, а также с рекомендациями по соблюдению требований бюджетного законодательства при составлении и представлении отчетности, и обеспечению соответствия форм бюджетной отчетности данным бухгалтерского учета. По результатам проведенной проверки составлено 15 административных протоколов (</w:t>
      </w:r>
      <w:r>
        <w:rPr>
          <w:i/>
          <w:sz w:val="28"/>
          <w:szCs w:val="28"/>
        </w:rPr>
        <w:t>по результатам внешних проверок за 2021 год – 8 административных протоколов</w:t>
      </w:r>
      <w:r>
        <w:rPr>
          <w:sz w:val="28"/>
          <w:szCs w:val="28"/>
        </w:rPr>
        <w:t>).</w:t>
      </w:r>
    </w:p>
    <w:p w:rsidR="00093A6E" w:rsidRDefault="00093A6E" w:rsidP="00093A6E">
      <w:pPr>
        <w:tabs>
          <w:tab w:val="left" w:pos="1080"/>
        </w:tabs>
        <w:ind w:firstLine="709"/>
        <w:jc w:val="both"/>
        <w:rPr>
          <w:sz w:val="28"/>
          <w:szCs w:val="28"/>
        </w:rPr>
      </w:pPr>
      <w:r>
        <w:rPr>
          <w:sz w:val="28"/>
          <w:szCs w:val="28"/>
        </w:rPr>
        <w:t>Проверка и анализ показателей отчета об исполнении бюджета города Сочи за 2022 год показали, что представленная отчетность сформирована в полном объеме и соответствует совокупности данных годовых отчетов главных распорядителей бюджетных средств.</w:t>
      </w:r>
    </w:p>
    <w:p w:rsidR="0050281C" w:rsidRDefault="0050281C"/>
    <w:sectPr w:rsidR="005028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DD"/>
    <w:rsid w:val="00093A6E"/>
    <w:rsid w:val="00177418"/>
    <w:rsid w:val="0046451B"/>
    <w:rsid w:val="0050281C"/>
    <w:rsid w:val="005E1028"/>
    <w:rsid w:val="00766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A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A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72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Большкова</dc:creator>
  <cp:lastModifiedBy>Пономаренко</cp:lastModifiedBy>
  <cp:revision>2</cp:revision>
  <dcterms:created xsi:type="dcterms:W3CDTF">2024-02-24T15:12:00Z</dcterms:created>
  <dcterms:modified xsi:type="dcterms:W3CDTF">2024-02-24T15:12:00Z</dcterms:modified>
</cp:coreProperties>
</file>